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CC" w:rsidRDefault="009254CC" w:rsidP="009254CC">
      <w:pPr>
        <w:jc w:val="center"/>
        <w:rPr>
          <w:b/>
          <w:caps/>
        </w:rPr>
      </w:pPr>
      <w:r w:rsidRPr="009254CC">
        <w:rPr>
          <w:b/>
          <w:caps/>
          <w:noProof/>
        </w:rPr>
        <w:pict>
          <v:rect id="_x0000_s1028" style="position:absolute;left:0;text-align:left;margin-left:-13.55pt;margin-top:-27.75pt;width:388.5pt;height:36pt;z-index:251662336" stroked="f"/>
        </w:pict>
      </w:r>
      <w:r w:rsidRPr="009254CC">
        <w:rPr>
          <w:b/>
          <w:caps/>
          <w:noProof/>
        </w:rPr>
        <w:pict>
          <v:rect id="_x0000_s1029" style="position:absolute;left:0;text-align:left;margin-left:-21.8pt;margin-top:-42.9pt;width:414.7pt;height:44.4pt;z-index:251663360" stroked="f"/>
        </w:pict>
      </w:r>
    </w:p>
    <w:p w:rsidR="009254CC" w:rsidRDefault="009254CC" w:rsidP="009254CC">
      <w:pPr>
        <w:jc w:val="center"/>
        <w:rPr>
          <w:b/>
          <w:caps/>
        </w:rPr>
      </w:pPr>
    </w:p>
    <w:p w:rsidR="009254CC" w:rsidRDefault="009254CC" w:rsidP="009254CC">
      <w:pPr>
        <w:jc w:val="center"/>
        <w:rPr>
          <w:b/>
          <w:caps/>
        </w:rPr>
      </w:pPr>
    </w:p>
    <w:p w:rsidR="007F6F4C" w:rsidRDefault="009254CC" w:rsidP="009254CC">
      <w:pPr>
        <w:jc w:val="center"/>
        <w:rPr>
          <w:b/>
          <w:caps/>
        </w:rPr>
      </w:pPr>
      <w:r w:rsidRPr="009254CC">
        <w:rPr>
          <w:b/>
          <w:caps/>
        </w:rPr>
        <w:t>S</w:t>
      </w:r>
      <w:r w:rsidR="007F6F4C" w:rsidRPr="002641EC">
        <w:rPr>
          <w:b/>
          <w:caps/>
        </w:rPr>
        <w:t>pis treści</w:t>
      </w:r>
    </w:p>
    <w:p w:rsidR="009254CC" w:rsidRDefault="009254CC" w:rsidP="009254CC">
      <w:pPr>
        <w:jc w:val="center"/>
        <w:rPr>
          <w:b/>
          <w:caps/>
        </w:rPr>
      </w:pPr>
    </w:p>
    <w:p w:rsidR="009254CC" w:rsidRDefault="009254CC" w:rsidP="009254CC">
      <w:pPr>
        <w:jc w:val="center"/>
        <w:rPr>
          <w:b/>
          <w:caps/>
        </w:rPr>
      </w:pPr>
    </w:p>
    <w:p w:rsidR="009254CC" w:rsidRPr="002641EC" w:rsidRDefault="009254CC" w:rsidP="009254CC">
      <w:pPr>
        <w:jc w:val="center"/>
        <w:rPr>
          <w:b/>
          <w:caps/>
        </w:rPr>
      </w:pPr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after="360"/>
        <w:jc w:val="center"/>
        <w:rPr>
          <w:rStyle w:val="Hipercze"/>
          <w:b/>
          <w:noProof/>
          <w:color w:val="auto"/>
          <w:sz w:val="18"/>
          <w:szCs w:val="18"/>
        </w:rPr>
      </w:pPr>
      <w:r w:rsidRPr="002641EC">
        <w:rPr>
          <w:b/>
          <w:caps/>
        </w:rPr>
        <w:fldChar w:fldCharType="begin"/>
      </w:r>
      <w:r w:rsidR="007F6F4C" w:rsidRPr="002641EC">
        <w:rPr>
          <w:b/>
          <w:caps/>
        </w:rPr>
        <w:instrText xml:space="preserve"> TOC \h \z \t "Nagłówek 1;1;Tytuł;1;Podtytuł;2;Nazwisko;2" </w:instrText>
      </w:r>
      <w:r w:rsidRPr="002641EC">
        <w:rPr>
          <w:b/>
          <w:caps/>
        </w:rPr>
        <w:fldChar w:fldCharType="separate"/>
      </w:r>
      <w:hyperlink w:anchor="_Toc330379491" w:history="1">
        <w:r w:rsidR="007F6F4C" w:rsidRPr="002641EC">
          <w:rPr>
            <w:rStyle w:val="Hipercze"/>
            <w:b/>
            <w:noProof/>
            <w:color w:val="auto"/>
            <w:sz w:val="18"/>
            <w:szCs w:val="18"/>
          </w:rPr>
          <w:t>STUDIA I MATERIAŁY</w:t>
        </w:r>
      </w:hyperlink>
    </w:p>
    <w:p w:rsidR="007F6F4C" w:rsidRPr="002641EC" w:rsidRDefault="007F6F4C" w:rsidP="007F6F4C">
      <w:pPr>
        <w:tabs>
          <w:tab w:val="left" w:leader="dot" w:pos="6691"/>
          <w:tab w:val="right" w:pos="7144"/>
        </w:tabs>
        <w:spacing w:after="120"/>
        <w:jc w:val="center"/>
        <w:rPr>
          <w:caps/>
          <w:noProof/>
          <w:sz w:val="18"/>
          <w:szCs w:val="18"/>
        </w:rPr>
      </w:pPr>
      <w:r w:rsidRPr="002641EC">
        <w:rPr>
          <w:caps/>
          <w:noProof/>
          <w:sz w:val="18"/>
          <w:szCs w:val="18"/>
        </w:rPr>
        <w:t>Dział A. Archeologia powszechna</w:t>
      </w:r>
    </w:p>
    <w:p w:rsidR="007F6F4C" w:rsidRPr="002641EC" w:rsidRDefault="003F2241" w:rsidP="007F6F4C">
      <w:pPr>
        <w:pStyle w:val="Spistreci2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hyperlink w:anchor="_Toc330379493" w:history="1">
        <w:r w:rsidR="007F6F4C" w:rsidRPr="002641EC">
          <w:rPr>
            <w:rStyle w:val="Hipercze"/>
            <w:noProof/>
            <w:color w:val="auto"/>
            <w:sz w:val="18"/>
            <w:szCs w:val="18"/>
          </w:rPr>
          <w:t xml:space="preserve">Jerzy </w:t>
        </w:r>
        <w:r w:rsidR="007F6F4C" w:rsidRPr="002641EC">
          <w:rPr>
            <w:rStyle w:val="Hipercze"/>
            <w:noProof/>
            <w:color w:val="auto"/>
            <w:spacing w:val="40"/>
            <w:sz w:val="18"/>
            <w:szCs w:val="18"/>
          </w:rPr>
          <w:t>Foge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>l</w:t>
        </w:r>
      </w:hyperlink>
      <w:r w:rsidR="007F6F4C" w:rsidRPr="002641EC">
        <w:rPr>
          <w:rStyle w:val="Hipercze"/>
          <w:noProof/>
          <w:color w:val="auto"/>
          <w:sz w:val="18"/>
          <w:szCs w:val="18"/>
        </w:rPr>
        <w:t xml:space="preserve">, </w:t>
      </w:r>
      <w:hyperlink w:anchor="_Toc330379492" w:history="1">
        <w:r w:rsidR="007F6F4C" w:rsidRPr="002641EC">
          <w:rPr>
            <w:rStyle w:val="Hipercze"/>
            <w:noProof/>
            <w:color w:val="auto"/>
            <w:sz w:val="18"/>
            <w:szCs w:val="18"/>
          </w:rPr>
          <w:t xml:space="preserve">Błogosławiony Edmund Bojanowski (1814–1871) jako amator archeologii regionalnej. Fragment starożytnictwa w Wielkim Księstwie Poznańskim 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="007F6F4C" w:rsidRPr="002641EC">
          <w:rPr>
            <w:noProof/>
            <w:webHidden/>
            <w:sz w:val="18"/>
            <w:szCs w:val="18"/>
          </w:rPr>
          <w:tab/>
        </w:r>
      </w:hyperlink>
      <w:r w:rsidR="007F6F4C" w:rsidRPr="002641EC">
        <w:rPr>
          <w:sz w:val="18"/>
          <w:szCs w:val="18"/>
        </w:rPr>
        <w:t>11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Maciej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Resze</w:t>
      </w:r>
      <w:r w:rsidRPr="002641EC">
        <w:rPr>
          <w:rStyle w:val="Hipercze"/>
          <w:noProof/>
          <w:color w:val="auto"/>
          <w:sz w:val="18"/>
          <w:szCs w:val="18"/>
        </w:rPr>
        <w:t xml:space="preserve">l, </w:t>
      </w:r>
      <w:hyperlink w:anchor="_Toc330379494" w:history="1">
        <w:r w:rsidRPr="002641EC">
          <w:rPr>
            <w:rStyle w:val="Hipercze"/>
            <w:noProof/>
            <w:color w:val="auto"/>
            <w:sz w:val="18"/>
            <w:szCs w:val="18"/>
          </w:rPr>
          <w:t>Wczesnoceramiczny kompleks jelszanski</w:t>
        </w:r>
      </w:hyperlink>
      <w:r w:rsidRPr="002641EC">
        <w:rPr>
          <w:rStyle w:val="Hipercze"/>
          <w:noProof/>
          <w:color w:val="auto"/>
          <w:sz w:val="18"/>
          <w:szCs w:val="18"/>
        </w:rPr>
        <w:t xml:space="preserve"> </w:t>
      </w:r>
      <w:hyperlink w:anchor="_Toc330379495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w międzyrzeczu Wołgi i Uralu. </w:t>
        </w:r>
        <w:r w:rsidRPr="009254CC">
          <w:rPr>
            <w:rStyle w:val="Hipercze"/>
            <w:noProof/>
            <w:color w:val="auto"/>
            <w:sz w:val="18"/>
            <w:szCs w:val="18"/>
          </w:rPr>
          <w:t xml:space="preserve">Aspekt chronologiczny </w:t>
        </w:r>
        <w:r w:rsidRPr="009254C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_Toc330379495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35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Danuta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Żurkiewic</w:t>
      </w:r>
      <w:r w:rsidRPr="002641EC">
        <w:rPr>
          <w:rStyle w:val="Hipercze"/>
          <w:noProof/>
          <w:color w:val="auto"/>
          <w:sz w:val="18"/>
          <w:szCs w:val="18"/>
        </w:rPr>
        <w:t xml:space="preserve">z, </w:t>
      </w:r>
      <w:hyperlink w:anchor="_Toc330379497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Społeczności kultury późnej ceramiki wstęgowej centralnej części Wysoczyzny Kujawskiej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_Toc330379497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47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tabs>
          <w:tab w:val="left" w:leader="dot" w:pos="6691"/>
          <w:tab w:val="right" w:pos="7144"/>
        </w:tabs>
        <w:spacing w:before="120" w:after="120" w:line="240" w:lineRule="exact"/>
        <w:jc w:val="center"/>
        <w:rPr>
          <w:noProof/>
          <w:sz w:val="18"/>
          <w:szCs w:val="18"/>
        </w:rPr>
      </w:pPr>
      <w:r w:rsidRPr="002641EC">
        <w:rPr>
          <w:caps/>
          <w:noProof/>
          <w:sz w:val="18"/>
          <w:szCs w:val="18"/>
        </w:rPr>
        <w:t>Dział B. Archeologia orientalna i Antyczna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Hieronim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Kaczmare</w:t>
      </w:r>
      <w:r w:rsidRPr="002641EC">
        <w:rPr>
          <w:rStyle w:val="Hipercze"/>
          <w:noProof/>
          <w:color w:val="auto"/>
          <w:sz w:val="18"/>
          <w:szCs w:val="18"/>
        </w:rPr>
        <w:t xml:space="preserve">k, </w:t>
      </w:r>
      <w:hyperlink w:anchor="_Toc330379499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Piramidy egipskie – groby faraonów czy spichlerze Józefa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_Toc330379499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113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Karol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Kwiatkowsk</w:t>
      </w:r>
      <w:r w:rsidRPr="002641EC">
        <w:rPr>
          <w:rStyle w:val="Hipercze"/>
          <w:noProof/>
          <w:color w:val="auto"/>
          <w:sz w:val="18"/>
          <w:szCs w:val="18"/>
        </w:rPr>
        <w:t xml:space="preserve">i, </w:t>
      </w:r>
      <w:hyperlink w:anchor="_Toc330379501" w:history="1">
        <w:r w:rsidRPr="009254CC">
          <w:rPr>
            <w:rStyle w:val="Hipercze"/>
            <w:noProof/>
            <w:color w:val="auto"/>
            <w:sz w:val="18"/>
            <w:szCs w:val="18"/>
          </w:rPr>
          <w:t xml:space="preserve">Zoomorficzne figurki Anubisa </w:t>
        </w:r>
        <w:r w:rsidRPr="009254C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_Toc330379501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135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Mariusz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Kufe</w:t>
      </w:r>
      <w:r w:rsidRPr="002641EC">
        <w:rPr>
          <w:rStyle w:val="Hipercze"/>
          <w:noProof/>
          <w:color w:val="auto"/>
          <w:sz w:val="18"/>
          <w:szCs w:val="18"/>
        </w:rPr>
        <w:t xml:space="preserve">l, </w:t>
      </w:r>
      <w:hyperlink w:anchor="_Toc330379503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Osadnictwo na wyspie Thira (Santoryn) od neolitu po późną epokę brązu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_Toc330379503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155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Rafał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Kolińsk</w:t>
      </w:r>
      <w:r w:rsidRPr="002641EC">
        <w:rPr>
          <w:rStyle w:val="Hipercze"/>
          <w:noProof/>
          <w:color w:val="auto"/>
          <w:sz w:val="18"/>
          <w:szCs w:val="18"/>
        </w:rPr>
        <w:t xml:space="preserve">i, </w:t>
      </w:r>
      <w:hyperlink w:anchor="_Toc330379505" w:history="1">
        <w:r w:rsidRPr="009254CC">
          <w:rPr>
            <w:rStyle w:val="Hipercze"/>
            <w:noProof/>
            <w:color w:val="auto"/>
            <w:sz w:val="18"/>
            <w:szCs w:val="18"/>
          </w:rPr>
          <w:t xml:space="preserve">On grain, bones, and Khabur collapse </w:t>
        </w:r>
        <w:r w:rsidRPr="009254C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_Toc330379505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201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Rafał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Kolińsk</w:t>
      </w:r>
      <w:r w:rsidRPr="002641EC">
        <w:rPr>
          <w:rStyle w:val="Hipercze"/>
          <w:noProof/>
          <w:color w:val="auto"/>
          <w:sz w:val="18"/>
          <w:szCs w:val="18"/>
        </w:rPr>
        <w:t xml:space="preserve">i, </w:t>
      </w:r>
      <w:hyperlink w:anchor="_Toc330379507" w:history="1">
        <w:r w:rsidRPr="002641EC">
          <w:rPr>
            <w:rStyle w:val="Hipercze"/>
            <w:noProof/>
            <w:color w:val="auto"/>
            <w:sz w:val="18"/>
            <w:szCs w:val="18"/>
          </w:rPr>
          <w:t>Badania Instytutu Prahistorii UAM w Poznaniu na Tell Arbid (pół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>noc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no-wschodnia Syria) w latach 2008–2009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_Toc330379507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219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rStyle w:val="Hipercze"/>
          <w:noProof/>
          <w:color w:val="auto"/>
          <w:sz w:val="18"/>
          <w:szCs w:val="18"/>
        </w:rPr>
        <w:t xml:space="preserve">Ewa </w:t>
      </w:r>
      <w:r w:rsidRPr="002641EC">
        <w:rPr>
          <w:rStyle w:val="Hipercze"/>
          <w:noProof/>
          <w:color w:val="auto"/>
          <w:spacing w:val="40"/>
          <w:sz w:val="18"/>
          <w:szCs w:val="18"/>
        </w:rPr>
        <w:t>Buga</w:t>
      </w:r>
      <w:r w:rsidRPr="002641EC">
        <w:rPr>
          <w:rStyle w:val="Hipercze"/>
          <w:noProof/>
          <w:color w:val="auto"/>
          <w:sz w:val="18"/>
          <w:szCs w:val="18"/>
        </w:rPr>
        <w:t xml:space="preserve">j, </w:t>
      </w:r>
      <w:hyperlink w:anchor="_Toc330379509" w:history="1">
        <w:r w:rsidRPr="002641EC">
          <w:rPr>
            <w:rStyle w:val="Hipercze"/>
            <w:noProof/>
            <w:color w:val="auto"/>
            <w:sz w:val="18"/>
            <w:szCs w:val="18"/>
          </w:rPr>
          <w:t>Archeologia klasyczna w poszukiwaniu swej tożsamości. Między przesz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łością, teraźniejszą a historią sztuki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_Toc330379509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255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before="240" w:after="120"/>
        <w:jc w:val="center"/>
        <w:rPr>
          <w:b/>
          <w:noProof/>
          <w:sz w:val="18"/>
          <w:szCs w:val="18"/>
        </w:rPr>
      </w:pPr>
      <w:hyperlink w:anchor="_Toc330379511" w:history="1">
        <w:r w:rsidR="007F6F4C" w:rsidRPr="002641EC">
          <w:rPr>
            <w:rStyle w:val="Hipercze"/>
            <w:b/>
            <w:noProof/>
            <w:color w:val="auto"/>
            <w:sz w:val="18"/>
            <w:szCs w:val="18"/>
          </w:rPr>
          <w:t>POLEMIKI I SPRAWOZDANIE</w:t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Karolina </w:t>
      </w:r>
      <w:r w:rsidRPr="002641EC">
        <w:rPr>
          <w:noProof/>
          <w:spacing w:val="40"/>
          <w:sz w:val="18"/>
          <w:szCs w:val="18"/>
        </w:rPr>
        <w:t>Hara</w:t>
      </w:r>
      <w:r w:rsidRPr="002641EC">
        <w:rPr>
          <w:noProof/>
          <w:sz w:val="18"/>
          <w:szCs w:val="18"/>
        </w:rPr>
        <w:t xml:space="preserve">t, </w:t>
      </w:r>
      <w:hyperlink w:anchor="_Toc330379512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Skarby kultury Cucuteni w Państwowym Muzeum Archeologicznym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>w Warszawie. Uwagi na marginesie przejawów zjawiska reanimacji polskich za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>in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teresowań poznawczych wspólnotą kulturową Cucuteni-Trypolie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_Toc330379512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281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Karolina </w:t>
      </w:r>
      <w:r w:rsidRPr="002641EC">
        <w:rPr>
          <w:noProof/>
          <w:spacing w:val="40"/>
          <w:sz w:val="18"/>
          <w:szCs w:val="18"/>
        </w:rPr>
        <w:t>Hara</w:t>
      </w:r>
      <w:r w:rsidRPr="002641EC">
        <w:rPr>
          <w:noProof/>
          <w:sz w:val="18"/>
          <w:szCs w:val="18"/>
        </w:rPr>
        <w:t xml:space="preserve">t, </w:t>
      </w:r>
      <w:hyperlink w:anchor="_Toc330379513" w:history="1">
        <w:r w:rsidRPr="002641EC">
          <w:rPr>
            <w:rStyle w:val="Hipercze"/>
            <w:i/>
            <w:noProof/>
            <w:color w:val="auto"/>
            <w:sz w:val="18"/>
            <w:szCs w:val="18"/>
          </w:rPr>
          <w:t>Andrzej Rozwadowski, Obrazy z przeszłości. Hermeneutyka sztuki na</w:t>
        </w:r>
        <w:r w:rsidRPr="002641EC">
          <w:rPr>
            <w:rStyle w:val="Hipercze"/>
            <w:i/>
            <w:noProof/>
            <w:color w:val="auto"/>
            <w:sz w:val="18"/>
            <w:szCs w:val="18"/>
          </w:rPr>
          <w:softHyphen/>
          <w:t>skal</w:t>
        </w:r>
        <w:r w:rsidRPr="002641EC">
          <w:rPr>
            <w:rStyle w:val="Hipercze"/>
            <w:i/>
            <w:noProof/>
            <w:color w:val="auto"/>
            <w:sz w:val="18"/>
            <w:szCs w:val="18"/>
          </w:rPr>
          <w:softHyphen/>
          <w:t xml:space="preserve">nej, Poznań 2009 </w:t>
        </w:r>
        <w:r w:rsidRPr="002641EC">
          <w:rPr>
            <w:rStyle w:val="Hipercze"/>
            <w:i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_Toc330379513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293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Justyna </w:t>
      </w:r>
      <w:r w:rsidRPr="002641EC">
        <w:rPr>
          <w:noProof/>
          <w:spacing w:val="40"/>
          <w:sz w:val="18"/>
          <w:szCs w:val="18"/>
        </w:rPr>
        <w:t>Żychlińsk</w:t>
      </w:r>
      <w:r w:rsidRPr="002641EC">
        <w:rPr>
          <w:noProof/>
          <w:sz w:val="18"/>
          <w:szCs w:val="18"/>
        </w:rPr>
        <w:t xml:space="preserve">a, </w:t>
      </w:r>
      <w:hyperlink w:anchor="_Toc330379514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Kilka uwag na marginesie badań stosunków społecznych ludności „łużyckiej”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_Toc330379514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299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hyperlink w:anchor="_Toc330379515" w:history="1">
        <w:r w:rsidR="007F6F4C" w:rsidRPr="002641EC">
          <w:rPr>
            <w:noProof/>
            <w:sz w:val="18"/>
            <w:szCs w:val="18"/>
          </w:rPr>
          <w:t xml:space="preserve">Dobrochna </w:t>
        </w:r>
        <w:r w:rsidR="007F6F4C" w:rsidRPr="002641EC">
          <w:rPr>
            <w:noProof/>
            <w:spacing w:val="40"/>
            <w:sz w:val="18"/>
            <w:szCs w:val="18"/>
          </w:rPr>
          <w:t>Jankowsk</w:t>
        </w:r>
        <w:r w:rsidR="007F6F4C" w:rsidRPr="002641EC">
          <w:rPr>
            <w:noProof/>
            <w:sz w:val="18"/>
            <w:szCs w:val="18"/>
          </w:rPr>
          <w:t xml:space="preserve">a, 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>Osadnictwo wczesnośredniowieczne nad Jeziorem Wojno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wickim 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="007F6F4C" w:rsidRPr="002641EC">
          <w:rPr>
            <w:noProof/>
            <w:webHidden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fldChar w:fldCharType="begin"/>
        </w:r>
        <w:r w:rsidR="007F6F4C" w:rsidRPr="002641EC">
          <w:rPr>
            <w:noProof/>
            <w:webHidden/>
            <w:sz w:val="18"/>
            <w:szCs w:val="18"/>
          </w:rPr>
          <w:instrText xml:space="preserve"> PAGEREF _Toc330379515 \h </w:instrText>
        </w:r>
        <w:r w:rsidRPr="002641EC">
          <w:rPr>
            <w:noProof/>
            <w:webHidden/>
            <w:sz w:val="18"/>
            <w:szCs w:val="18"/>
          </w:rPr>
        </w:r>
        <w:r w:rsidRPr="002641EC">
          <w:rPr>
            <w:noProof/>
            <w:webHidden/>
            <w:sz w:val="18"/>
            <w:szCs w:val="18"/>
          </w:rPr>
          <w:fldChar w:fldCharType="separate"/>
        </w:r>
        <w:r w:rsidR="007F6F4C" w:rsidRPr="002641EC">
          <w:rPr>
            <w:noProof/>
            <w:webHidden/>
            <w:sz w:val="18"/>
            <w:szCs w:val="18"/>
          </w:rPr>
          <w:t>313</w:t>
        </w:r>
        <w:r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before="240" w:after="120"/>
        <w:jc w:val="center"/>
        <w:rPr>
          <w:b/>
          <w:noProof/>
          <w:sz w:val="18"/>
          <w:szCs w:val="18"/>
        </w:rPr>
      </w:pPr>
      <w:hyperlink w:anchor="_Toc330379516" w:history="1">
        <w:r w:rsidR="007F6F4C" w:rsidRPr="002641EC">
          <w:rPr>
            <w:rStyle w:val="Hipercze"/>
            <w:b/>
            <w:noProof/>
            <w:color w:val="auto"/>
            <w:sz w:val="18"/>
            <w:szCs w:val="18"/>
          </w:rPr>
          <w:t>AUTOREFERATY DOKTORSKIE</w:t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Agnieszka </w:t>
      </w:r>
      <w:r w:rsidRPr="002641EC">
        <w:rPr>
          <w:noProof/>
          <w:spacing w:val="40"/>
          <w:sz w:val="18"/>
          <w:szCs w:val="18"/>
        </w:rPr>
        <w:t>Przyby</w:t>
      </w:r>
      <w:r w:rsidRPr="002641EC">
        <w:rPr>
          <w:noProof/>
          <w:sz w:val="18"/>
          <w:szCs w:val="18"/>
        </w:rPr>
        <w:t xml:space="preserve">ł, </w:t>
      </w:r>
      <w:hyperlink w:anchor="_Toc330379517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Badenizacja niżowych ugrupowań kultury pucharów lejkowatych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>w międzyrzeczu Odry i Wisły: 3600/3500–2400/2350 przed Chr. Podstawy systema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tyki chronologiczno-przestrzennej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_Toc330379517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327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lastRenderedPageBreak/>
        <w:t xml:space="preserve">Artur </w:t>
      </w:r>
      <w:r w:rsidRPr="002641EC">
        <w:rPr>
          <w:noProof/>
          <w:spacing w:val="40"/>
          <w:sz w:val="18"/>
          <w:szCs w:val="18"/>
        </w:rPr>
        <w:t>Różańsk</w:t>
      </w:r>
      <w:r w:rsidRPr="002641EC">
        <w:rPr>
          <w:noProof/>
          <w:sz w:val="18"/>
          <w:szCs w:val="18"/>
        </w:rPr>
        <w:t xml:space="preserve">i, </w:t>
      </w:r>
      <w:hyperlink w:anchor="_Toc330379518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Jednoprzestrzenne kościoły romańskie z terenu Wielkopolski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_Toc330379518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337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Joanna </w:t>
      </w:r>
      <w:r w:rsidRPr="002641EC">
        <w:rPr>
          <w:noProof/>
          <w:spacing w:val="40"/>
          <w:sz w:val="18"/>
          <w:szCs w:val="18"/>
        </w:rPr>
        <w:t>Wojnic</w:t>
      </w:r>
      <w:r w:rsidRPr="002641EC">
        <w:rPr>
          <w:noProof/>
          <w:sz w:val="18"/>
          <w:szCs w:val="18"/>
        </w:rPr>
        <w:t xml:space="preserve">z, </w:t>
      </w:r>
      <w:hyperlink w:anchor="_Toc330379519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Zamek i klasztor Oybin. </w:t>
        </w:r>
        <w:r w:rsidRPr="002641EC">
          <w:rPr>
            <w:rStyle w:val="Hipercze"/>
            <w:bCs/>
            <w:noProof/>
            <w:color w:val="auto"/>
            <w:sz w:val="18"/>
            <w:szCs w:val="18"/>
          </w:rPr>
          <w:t xml:space="preserve">Studium archeologiczne </w:t>
        </w:r>
        <w:r w:rsidRPr="002641EC">
          <w:rPr>
            <w:rStyle w:val="Hipercze"/>
            <w:bCs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_Toc330379519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343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Agnieszka </w:t>
      </w:r>
      <w:r w:rsidRPr="002641EC">
        <w:rPr>
          <w:noProof/>
          <w:spacing w:val="40"/>
          <w:sz w:val="18"/>
          <w:szCs w:val="18"/>
        </w:rPr>
        <w:t>Matuszewsk</w:t>
      </w:r>
      <w:r w:rsidRPr="002641EC">
        <w:rPr>
          <w:noProof/>
          <w:sz w:val="18"/>
          <w:szCs w:val="18"/>
        </w:rPr>
        <w:t xml:space="preserve">a, Dolnoodrzańska </w:t>
      </w:r>
      <w:hyperlink w:anchor="_Toc330379522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enklawa kultury ceramiki sznurowej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 xml:space="preserve">w ramach circumbałtyckiego kręgu KCSZ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_Toc330379522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353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Bogumiła </w:t>
      </w:r>
      <w:r w:rsidRPr="002641EC">
        <w:rPr>
          <w:noProof/>
          <w:spacing w:val="40"/>
          <w:sz w:val="18"/>
          <w:szCs w:val="18"/>
        </w:rPr>
        <w:t>Twardos</w:t>
      </w:r>
      <w:r w:rsidRPr="002641EC">
        <w:rPr>
          <w:noProof/>
          <w:sz w:val="18"/>
          <w:szCs w:val="18"/>
        </w:rPr>
        <w:t xml:space="preserve">z, </w:t>
      </w:r>
      <w:hyperlink w:anchor="_Toc330379523" w:history="1">
        <w:r w:rsidRPr="002641EC">
          <w:rPr>
            <w:rStyle w:val="Hipercze"/>
            <w:noProof/>
            <w:color w:val="auto"/>
            <w:sz w:val="18"/>
            <w:szCs w:val="18"/>
          </w:rPr>
          <w:t>Szkło w kulturze mieszkańców Poznania od późnego średnio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wiecza do pierwszej połowy XIX w.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_Toc330379523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361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Kinga </w:t>
      </w:r>
      <w:r w:rsidRPr="002641EC">
        <w:rPr>
          <w:noProof/>
          <w:spacing w:val="40"/>
          <w:sz w:val="18"/>
          <w:szCs w:val="18"/>
        </w:rPr>
        <w:t>Zamelska-Moncza</w:t>
      </w:r>
      <w:r w:rsidRPr="002641EC">
        <w:rPr>
          <w:noProof/>
          <w:sz w:val="18"/>
          <w:szCs w:val="18"/>
        </w:rPr>
        <w:t xml:space="preserve">k, </w:t>
      </w:r>
      <w:hyperlink w:anchor="_Toc330379524" w:history="1">
        <w:r w:rsidRPr="002641EC">
          <w:rPr>
            <w:rStyle w:val="Hipercze"/>
            <w:noProof/>
            <w:color w:val="auto"/>
            <w:sz w:val="18"/>
            <w:szCs w:val="18"/>
          </w:rPr>
          <w:t>Przemiany społeczno-kulturowe w okresie formowania się państwa piastowskiego w Wielkopolsce północno-zachodniej, na podstawie mate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riałów archeologicznych z Santoka i Międzyrzecza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_Toc330379524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371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Katarzyna </w:t>
      </w:r>
      <w:r w:rsidRPr="002641EC">
        <w:rPr>
          <w:noProof/>
          <w:spacing w:val="40"/>
          <w:sz w:val="18"/>
          <w:szCs w:val="18"/>
        </w:rPr>
        <w:t>Pyżewic</w:t>
      </w:r>
      <w:r w:rsidRPr="002641EC">
        <w:rPr>
          <w:noProof/>
          <w:sz w:val="18"/>
          <w:szCs w:val="18"/>
        </w:rPr>
        <w:t xml:space="preserve">z, </w:t>
      </w:r>
      <w:hyperlink w:anchor="_Toc330379525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Holoceńskie społeczności zbieracko-łowieckie zachodniej części Niżu Polskiego w kontekście analiz funkcjonalnych inwentarzy krzemiennych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_Toc330379525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381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Marcin </w:t>
      </w:r>
      <w:r w:rsidRPr="002641EC">
        <w:rPr>
          <w:noProof/>
          <w:spacing w:val="40"/>
          <w:sz w:val="18"/>
          <w:szCs w:val="18"/>
        </w:rPr>
        <w:t>Szydłowsk</w:t>
      </w:r>
      <w:r w:rsidRPr="002641EC">
        <w:rPr>
          <w:noProof/>
          <w:sz w:val="18"/>
          <w:szCs w:val="18"/>
        </w:rPr>
        <w:t xml:space="preserve">i, </w:t>
      </w:r>
      <w:hyperlink w:anchor="_Toc330379526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Przemiany osadnicze w neolicie i początkach epoki brązu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 xml:space="preserve">w dorzeczu górnej i środkowej Obry. </w:t>
        </w:r>
        <w:r w:rsidRPr="009254CC">
          <w:rPr>
            <w:rStyle w:val="Hipercze"/>
            <w:noProof/>
            <w:color w:val="auto"/>
            <w:sz w:val="18"/>
            <w:szCs w:val="18"/>
          </w:rPr>
          <w:t xml:space="preserve">Geografia osadnictwa </w:t>
        </w:r>
        <w:r w:rsidRPr="009254C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_Toc330379526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389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Grzegorz </w:t>
      </w:r>
      <w:r w:rsidRPr="002641EC">
        <w:rPr>
          <w:noProof/>
          <w:spacing w:val="40"/>
          <w:sz w:val="18"/>
          <w:szCs w:val="18"/>
        </w:rPr>
        <w:t>Kiarszy</w:t>
      </w:r>
      <w:r w:rsidRPr="002641EC">
        <w:rPr>
          <w:noProof/>
          <w:sz w:val="18"/>
          <w:szCs w:val="18"/>
        </w:rPr>
        <w:t xml:space="preserve">s, </w:t>
      </w:r>
      <w:hyperlink w:anchor="_Toc330379527" w:history="1">
        <w:r w:rsidRPr="002641EC">
          <w:rPr>
            <w:rStyle w:val="Hipercze"/>
            <w:noProof/>
            <w:color w:val="auto"/>
            <w:sz w:val="18"/>
            <w:szCs w:val="18"/>
          </w:rPr>
          <w:t>Kulturowy charakter czasu i przestrzeni. Analiza średniowieczne-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 xml:space="preserve">go i wczesnorenesansowego elitarnego budownictwa mieszkalnego i obronnego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 xml:space="preserve">w Irlandii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_Toc330379527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399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Paulina </w:t>
      </w:r>
      <w:r w:rsidRPr="002641EC">
        <w:rPr>
          <w:noProof/>
          <w:spacing w:val="40"/>
          <w:sz w:val="18"/>
          <w:szCs w:val="18"/>
        </w:rPr>
        <w:t>Suchowska-Duck</w:t>
      </w:r>
      <w:r w:rsidRPr="002641EC">
        <w:rPr>
          <w:noProof/>
          <w:sz w:val="18"/>
          <w:szCs w:val="18"/>
        </w:rPr>
        <w:t xml:space="preserve">e, </w:t>
      </w:r>
      <w:hyperlink w:anchor="_Toc330379528" w:history="1">
        <w:r w:rsidRPr="002641EC">
          <w:rPr>
            <w:rStyle w:val="Hipercze"/>
            <w:noProof/>
            <w:color w:val="auto"/>
            <w:sz w:val="18"/>
            <w:szCs w:val="18"/>
          </w:rPr>
          <w:t>Kontakty społeczności Europy Środkowej i strefy egej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>skiej w II tysią</w:t>
        </w:r>
        <w:r w:rsidRPr="002641EC">
          <w:rPr>
            <w:rStyle w:val="Hipercze"/>
            <w:noProof/>
            <w:color w:val="auto"/>
            <w:sz w:val="18"/>
            <w:szCs w:val="18"/>
            <w:shd w:val="clear" w:color="auto" w:fill="FFFFFF"/>
          </w:rPr>
          <w:t xml:space="preserve">cleciu p.n.e. </w:t>
        </w:r>
        <w:r w:rsidRPr="009254CC">
          <w:rPr>
            <w:rStyle w:val="Hipercze"/>
            <w:noProof/>
            <w:color w:val="auto"/>
            <w:sz w:val="18"/>
            <w:szCs w:val="18"/>
            <w:shd w:val="clear" w:color="auto" w:fill="FFFFFF"/>
          </w:rPr>
          <w:t xml:space="preserve">Próba analizy archeologiczno-chronometrycznej </w:t>
        </w:r>
        <w:r w:rsidRPr="009254CC">
          <w:rPr>
            <w:rStyle w:val="Hipercze"/>
            <w:noProof/>
            <w:color w:val="auto"/>
            <w:sz w:val="18"/>
            <w:szCs w:val="18"/>
            <w:shd w:val="clear" w:color="auto" w:fill="FFFFFF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_Toc330379528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407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hyperlink w:anchor="_Toc330379529" w:history="1">
        <w:r w:rsidR="007F6F4C" w:rsidRPr="002641EC">
          <w:rPr>
            <w:noProof/>
            <w:sz w:val="18"/>
            <w:szCs w:val="18"/>
          </w:rPr>
          <w:t xml:space="preserve">Dariusz </w:t>
        </w:r>
        <w:r w:rsidR="007F6F4C" w:rsidRPr="002641EC">
          <w:rPr>
            <w:noProof/>
            <w:spacing w:val="40"/>
            <w:sz w:val="18"/>
            <w:szCs w:val="18"/>
          </w:rPr>
          <w:t>Błaszczy</w:t>
        </w:r>
        <w:r w:rsidR="007F6F4C" w:rsidRPr="002641EC">
          <w:rPr>
            <w:noProof/>
            <w:sz w:val="18"/>
            <w:szCs w:val="18"/>
          </w:rPr>
          <w:t xml:space="preserve">k, 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 xml:space="preserve">Społeczna interpretacja wybranych wczesnośredniowiecznych cmentarzysk rzędowych w perspektywie </w:t>
        </w:r>
        <w:r w:rsidR="007F6F4C" w:rsidRPr="002641EC">
          <w:rPr>
            <w:rStyle w:val="Hipercze"/>
            <w:i/>
            <w:iCs/>
            <w:noProof/>
            <w:color w:val="auto"/>
            <w:sz w:val="18"/>
            <w:szCs w:val="18"/>
          </w:rPr>
          <w:t>gender studies</w:t>
        </w:r>
        <w:r w:rsidR="007F6F4C" w:rsidRPr="002641EC">
          <w:rPr>
            <w:rStyle w:val="Hipercze"/>
            <w:noProof/>
            <w:color w:val="auto"/>
            <w:sz w:val="18"/>
            <w:szCs w:val="18"/>
          </w:rPr>
          <w:t xml:space="preserve"> i </w:t>
        </w:r>
        <w:r w:rsidR="007F6F4C" w:rsidRPr="002641EC">
          <w:rPr>
            <w:rStyle w:val="Hipercze"/>
            <w:i/>
            <w:iCs/>
            <w:noProof/>
            <w:color w:val="auto"/>
            <w:sz w:val="18"/>
            <w:szCs w:val="18"/>
          </w:rPr>
          <w:t xml:space="preserve">lifecycle analysis </w:t>
        </w:r>
        <w:r w:rsidR="007F6F4C" w:rsidRPr="002641EC">
          <w:rPr>
            <w:rStyle w:val="Hipercze"/>
            <w:i/>
            <w:iCs/>
            <w:noProof/>
            <w:color w:val="auto"/>
            <w:sz w:val="18"/>
            <w:szCs w:val="18"/>
          </w:rPr>
          <w:tab/>
        </w:r>
        <w:r w:rsidR="007F6F4C" w:rsidRPr="002641EC">
          <w:rPr>
            <w:noProof/>
            <w:webHidden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fldChar w:fldCharType="begin"/>
        </w:r>
        <w:r w:rsidR="007F6F4C" w:rsidRPr="002641EC">
          <w:rPr>
            <w:noProof/>
            <w:webHidden/>
            <w:sz w:val="18"/>
            <w:szCs w:val="18"/>
          </w:rPr>
          <w:instrText xml:space="preserve"> PAGEREF _Toc330379529 \h </w:instrText>
        </w:r>
        <w:r w:rsidRPr="002641EC">
          <w:rPr>
            <w:noProof/>
            <w:webHidden/>
            <w:sz w:val="18"/>
            <w:szCs w:val="18"/>
          </w:rPr>
        </w:r>
        <w:r w:rsidRPr="002641EC">
          <w:rPr>
            <w:noProof/>
            <w:webHidden/>
            <w:sz w:val="18"/>
            <w:szCs w:val="18"/>
          </w:rPr>
          <w:fldChar w:fldCharType="separate"/>
        </w:r>
        <w:r w:rsidR="007F6F4C" w:rsidRPr="002641EC">
          <w:rPr>
            <w:noProof/>
            <w:webHidden/>
            <w:sz w:val="18"/>
            <w:szCs w:val="18"/>
          </w:rPr>
          <w:t>417</w:t>
        </w:r>
        <w:r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Justyna </w:t>
      </w:r>
      <w:r w:rsidRPr="002641EC">
        <w:rPr>
          <w:noProof/>
          <w:spacing w:val="40"/>
          <w:sz w:val="18"/>
          <w:szCs w:val="18"/>
        </w:rPr>
        <w:t>Cieszewsk</w:t>
      </w:r>
      <w:r w:rsidRPr="002641EC">
        <w:rPr>
          <w:noProof/>
          <w:sz w:val="18"/>
          <w:szCs w:val="18"/>
        </w:rPr>
        <w:t xml:space="preserve">a, </w:t>
      </w:r>
      <w:hyperlink w:anchor="_Toc330379530" w:history="1">
        <w:r w:rsidRPr="002641EC">
          <w:rPr>
            <w:rStyle w:val="Hipercze"/>
            <w:noProof/>
            <w:color w:val="auto"/>
            <w:sz w:val="18"/>
            <w:szCs w:val="18"/>
          </w:rPr>
          <w:t>„Ludy Morza” na tle przeobrażeń kulturowych w strefie pon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tyjsko-bałkańskiej w 2. poł. </w:t>
        </w:r>
        <w:r w:rsidRPr="009254CC">
          <w:rPr>
            <w:rStyle w:val="Hipercze"/>
            <w:noProof/>
            <w:color w:val="auto"/>
            <w:sz w:val="18"/>
            <w:szCs w:val="18"/>
          </w:rPr>
          <w:t xml:space="preserve">II tysiąclecia p.n.e. </w:t>
        </w:r>
        <w:r w:rsidRPr="009254C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  <w:r w:rsidR="003F2241" w:rsidRPr="002641EC">
          <w:rPr>
            <w:noProof/>
            <w:webHidden/>
            <w:sz w:val="18"/>
            <w:szCs w:val="18"/>
          </w:rPr>
          <w:fldChar w:fldCharType="begin"/>
        </w:r>
        <w:r w:rsidRPr="002641EC">
          <w:rPr>
            <w:noProof/>
            <w:webHidden/>
            <w:sz w:val="18"/>
            <w:szCs w:val="18"/>
          </w:rPr>
          <w:instrText xml:space="preserve"> PAGEREF _Toc330379530 \h </w:instrText>
        </w:r>
        <w:r w:rsidR="003F2241" w:rsidRPr="002641EC">
          <w:rPr>
            <w:noProof/>
            <w:webHidden/>
            <w:sz w:val="18"/>
            <w:szCs w:val="18"/>
          </w:rPr>
        </w:r>
        <w:r w:rsidR="003F2241" w:rsidRPr="002641EC">
          <w:rPr>
            <w:noProof/>
            <w:webHidden/>
            <w:sz w:val="18"/>
            <w:szCs w:val="18"/>
          </w:rPr>
          <w:fldChar w:fldCharType="separate"/>
        </w:r>
        <w:r w:rsidRPr="002641EC">
          <w:rPr>
            <w:noProof/>
            <w:webHidden/>
            <w:sz w:val="18"/>
            <w:szCs w:val="18"/>
          </w:rPr>
          <w:t>427</w:t>
        </w:r>
        <w:r w:rsidR="003F2241" w:rsidRPr="002641EC">
          <w:rPr>
            <w:noProof/>
            <w:webHidden/>
            <w:sz w:val="18"/>
            <w:szCs w:val="18"/>
          </w:rPr>
          <w:fldChar w:fldCharType="end"/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Łukasz </w:t>
      </w:r>
      <w:r w:rsidRPr="002641EC">
        <w:rPr>
          <w:noProof/>
          <w:spacing w:val="40"/>
          <w:sz w:val="18"/>
          <w:szCs w:val="18"/>
        </w:rPr>
        <w:t>Gi</w:t>
      </w:r>
      <w:r w:rsidRPr="002641EC">
        <w:rPr>
          <w:noProof/>
          <w:sz w:val="18"/>
          <w:szCs w:val="18"/>
        </w:rPr>
        <w:t xml:space="preserve">l, </w:t>
      </w:r>
      <w:hyperlink w:anchor="_Toc330379531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Fajki oraz sposoby używania tytoniu na obszarze obecnych zachodnich ziem polskich od XVII do początku XX w.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</w:hyperlink>
      <w:r w:rsidRPr="002641EC">
        <w:rPr>
          <w:sz w:val="18"/>
          <w:szCs w:val="18"/>
        </w:rPr>
        <w:t>435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Michał </w:t>
      </w:r>
      <w:r w:rsidRPr="002641EC">
        <w:rPr>
          <w:noProof/>
          <w:spacing w:val="40"/>
          <w:sz w:val="18"/>
          <w:szCs w:val="18"/>
        </w:rPr>
        <w:t>Kruege</w:t>
      </w:r>
      <w:r w:rsidRPr="002641EC">
        <w:rPr>
          <w:noProof/>
          <w:sz w:val="18"/>
          <w:szCs w:val="18"/>
        </w:rPr>
        <w:t xml:space="preserve">r, </w:t>
      </w:r>
      <w:hyperlink w:anchor="_Toc330379532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Struktura społeczna ludności tartezyjskiej na przykładzie cmentarzyska w Setefilla (prowincja Sewilla)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</w:hyperlink>
      <w:r w:rsidRPr="002641EC">
        <w:rPr>
          <w:sz w:val="18"/>
          <w:szCs w:val="18"/>
        </w:rPr>
        <w:t>443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Mateusz </w:t>
      </w:r>
      <w:r w:rsidRPr="002641EC">
        <w:rPr>
          <w:noProof/>
          <w:spacing w:val="40"/>
          <w:sz w:val="18"/>
          <w:szCs w:val="18"/>
        </w:rPr>
        <w:t>Jaege</w:t>
      </w:r>
      <w:r w:rsidRPr="002641EC">
        <w:rPr>
          <w:noProof/>
          <w:sz w:val="18"/>
          <w:szCs w:val="18"/>
        </w:rPr>
        <w:t xml:space="preserve">r, </w:t>
      </w:r>
      <w:hyperlink w:anchor="_Toc330379533" w:history="1">
        <w:r w:rsidRPr="002641EC">
          <w:rPr>
            <w:rStyle w:val="Hipercze"/>
            <w:noProof/>
            <w:color w:val="auto"/>
            <w:sz w:val="18"/>
            <w:szCs w:val="18"/>
          </w:rPr>
          <w:t>Środkowoeuropejskie społeczności osad obronnych w 1. poł. II tysiąc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lecia BC. Studium porównawcze obszarów próbnych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webHidden/>
            <w:sz w:val="18"/>
            <w:szCs w:val="18"/>
          </w:rPr>
          <w:tab/>
        </w:r>
      </w:hyperlink>
      <w:r w:rsidRPr="002641EC">
        <w:rPr>
          <w:sz w:val="18"/>
          <w:szCs w:val="18"/>
        </w:rPr>
        <w:t>453</w:t>
      </w:r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before="320" w:after="180" w:line="240" w:lineRule="exact"/>
        <w:ind w:left="340" w:hanging="340"/>
        <w:jc w:val="center"/>
        <w:rPr>
          <w:b/>
          <w:noProof/>
          <w:sz w:val="18"/>
          <w:szCs w:val="18"/>
        </w:rPr>
      </w:pPr>
      <w:hyperlink w:anchor="_Toc330379534" w:history="1">
        <w:r w:rsidR="007F6F4C" w:rsidRPr="002641EC">
          <w:rPr>
            <w:rStyle w:val="Hipercze"/>
            <w:b/>
            <w:noProof/>
            <w:color w:val="auto"/>
            <w:sz w:val="18"/>
            <w:szCs w:val="18"/>
          </w:rPr>
          <w:t>KRONIKA</w:t>
        </w:r>
      </w:hyperlink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Maksymilian </w:t>
      </w:r>
      <w:r w:rsidRPr="002641EC">
        <w:rPr>
          <w:noProof/>
          <w:spacing w:val="40"/>
          <w:sz w:val="18"/>
          <w:szCs w:val="18"/>
        </w:rPr>
        <w:t>Frąckowia</w:t>
      </w:r>
      <w:r w:rsidRPr="002641EC">
        <w:rPr>
          <w:noProof/>
          <w:sz w:val="18"/>
          <w:szCs w:val="18"/>
        </w:rPr>
        <w:t xml:space="preserve">k, </w:t>
      </w:r>
      <w:hyperlink w:anchor="_Toc330379535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VIII Międzynarodowa Interdyscyplinarna Sesja Studentów Archeologii: „Dźwięki kultury. muzyka jako komunikat w przeszłości” (Puszczykowo, 18–20 grudnia 2006 r.)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</w:hyperlink>
      <w:r w:rsidRPr="002641EC">
        <w:rPr>
          <w:sz w:val="18"/>
          <w:szCs w:val="18"/>
        </w:rPr>
        <w:tab/>
        <w:t>461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Tomasz </w:t>
      </w:r>
      <w:r w:rsidRPr="002641EC">
        <w:rPr>
          <w:noProof/>
          <w:spacing w:val="40"/>
          <w:sz w:val="18"/>
          <w:szCs w:val="18"/>
        </w:rPr>
        <w:t>Michali</w:t>
      </w:r>
      <w:r w:rsidRPr="002641EC">
        <w:rPr>
          <w:noProof/>
          <w:sz w:val="18"/>
          <w:szCs w:val="18"/>
        </w:rPr>
        <w:t xml:space="preserve">k, </w:t>
      </w:r>
      <w:hyperlink w:anchor="_Toc330379536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IX </w:t>
        </w:r>
        <w:r w:rsidRPr="002641EC">
          <w:rPr>
            <w:rStyle w:val="Hipercze"/>
            <w:noProof/>
            <w:color w:val="auto"/>
            <w:spacing w:val="-4"/>
            <w:sz w:val="18"/>
            <w:szCs w:val="18"/>
          </w:rPr>
          <w:t>Międzynarodowa Interdyscyplinarna Sesja Studentów Archeo</w:t>
        </w:r>
        <w:r w:rsidRPr="002641EC">
          <w:rPr>
            <w:rStyle w:val="Hipercze"/>
            <w:noProof/>
            <w:color w:val="auto"/>
            <w:spacing w:val="-4"/>
            <w:sz w:val="18"/>
            <w:szCs w:val="18"/>
          </w:rPr>
          <w:softHyphen/>
          <w:t xml:space="preserve">logii „Oblicza śmierci. Perspektywy badawcze” – Puszczykowo, 3–5 grudnia 2007 </w:t>
        </w:r>
        <w:r w:rsidRPr="002641EC">
          <w:rPr>
            <w:rStyle w:val="Hipercze"/>
            <w:noProof/>
            <w:color w:val="auto"/>
            <w:sz w:val="18"/>
            <w:szCs w:val="18"/>
          </w:rPr>
          <w:t xml:space="preserve">r.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</w:hyperlink>
      <w:r w:rsidRPr="002641EC">
        <w:rPr>
          <w:sz w:val="18"/>
          <w:szCs w:val="18"/>
        </w:rPr>
        <w:tab/>
        <w:t>465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Paulina </w:t>
      </w:r>
      <w:r w:rsidRPr="002641EC">
        <w:rPr>
          <w:noProof/>
          <w:spacing w:val="40"/>
          <w:sz w:val="18"/>
          <w:szCs w:val="18"/>
        </w:rPr>
        <w:t>Suchowska-Duck</w:t>
      </w:r>
      <w:r w:rsidRPr="002641EC">
        <w:rPr>
          <w:noProof/>
          <w:sz w:val="18"/>
          <w:szCs w:val="18"/>
        </w:rPr>
        <w:t xml:space="preserve">e, Marcin </w:t>
      </w:r>
      <w:r w:rsidRPr="002641EC">
        <w:rPr>
          <w:noProof/>
          <w:spacing w:val="40"/>
          <w:sz w:val="18"/>
          <w:szCs w:val="18"/>
        </w:rPr>
        <w:t>Ignacza</w:t>
      </w:r>
      <w:r w:rsidRPr="002641EC">
        <w:rPr>
          <w:noProof/>
          <w:sz w:val="18"/>
          <w:szCs w:val="18"/>
        </w:rPr>
        <w:t xml:space="preserve">k, </w:t>
      </w:r>
      <w:hyperlink w:anchor="_Toc330379537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Międzynarodowa konferencja </w:t>
        </w:r>
        <w:r w:rsidRPr="002641EC">
          <w:rPr>
            <w:rStyle w:val="Hipercze"/>
            <w:noProof/>
            <w:color w:val="auto"/>
            <w:sz w:val="18"/>
            <w:szCs w:val="18"/>
          </w:rPr>
          <w:br/>
          <w:t>pt. „Szlaki Międzymo</w:t>
        </w:r>
        <w:r w:rsidRPr="002641EC">
          <w:rPr>
            <w:rStyle w:val="Hipercze"/>
            <w:noProof/>
            <w:color w:val="auto"/>
            <w:sz w:val="18"/>
            <w:szCs w:val="18"/>
          </w:rPr>
          <w:softHyphen/>
          <w:t xml:space="preserve">rza: Bałtyk-Bug-Boh-Pont (od III do połowy I tysiąclecia przed Chr.)”, Obrzycko, 13–16 października 2008 r.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</w:hyperlink>
      <w:r w:rsidRPr="002641EC">
        <w:rPr>
          <w:sz w:val="18"/>
          <w:szCs w:val="18"/>
        </w:rPr>
        <w:tab/>
        <w:t>469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Danuta </w:t>
      </w:r>
      <w:r w:rsidRPr="002641EC">
        <w:rPr>
          <w:noProof/>
          <w:spacing w:val="40"/>
          <w:sz w:val="18"/>
          <w:szCs w:val="18"/>
        </w:rPr>
        <w:t>Minta-Tworzowsk</w:t>
      </w:r>
      <w:r w:rsidRPr="002641EC">
        <w:rPr>
          <w:noProof/>
          <w:sz w:val="18"/>
          <w:szCs w:val="18"/>
        </w:rPr>
        <w:t xml:space="preserve">a, </w:t>
      </w:r>
      <w:hyperlink w:anchor="_Toc330379538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 „</w:t>
        </w:r>
        <w:r w:rsidRPr="002641EC">
          <w:rPr>
            <w:rStyle w:val="Hipercze"/>
            <w:bCs/>
            <w:iCs/>
            <w:noProof/>
            <w:color w:val="auto"/>
            <w:sz w:val="18"/>
            <w:szCs w:val="18"/>
          </w:rPr>
          <w:t>Archeo</w:t>
        </w:r>
        <w:r w:rsidRPr="002641EC">
          <w:rPr>
            <w:rStyle w:val="Hipercze"/>
            <w:bCs/>
            <w:iCs/>
            <w:noProof/>
            <w:color w:val="auto"/>
            <w:sz w:val="18"/>
            <w:szCs w:val="18"/>
          </w:rPr>
          <w:softHyphen/>
          <w:t>lo</w:t>
        </w:r>
        <w:r w:rsidRPr="002641EC">
          <w:rPr>
            <w:rStyle w:val="Hipercze"/>
            <w:bCs/>
            <w:iCs/>
            <w:noProof/>
            <w:color w:val="auto"/>
            <w:sz w:val="18"/>
            <w:szCs w:val="18"/>
          </w:rPr>
          <w:softHyphen/>
          <w:t>gia Uniwersytecka w Poznaniu. Jej wczoraj i dziś”</w:t>
        </w:r>
        <w:r w:rsidRPr="002641EC">
          <w:rPr>
            <w:rStyle w:val="Hipercze"/>
            <w:bCs/>
            <w:noProof/>
            <w:color w:val="auto"/>
            <w:sz w:val="18"/>
            <w:szCs w:val="18"/>
          </w:rPr>
          <w:t xml:space="preserve">. </w:t>
        </w:r>
        <w:r w:rsidRPr="002641EC">
          <w:rPr>
            <w:rStyle w:val="Hipercze"/>
            <w:noProof/>
            <w:color w:val="auto"/>
            <w:sz w:val="18"/>
            <w:szCs w:val="18"/>
          </w:rPr>
          <w:t>Obrzycko, 2–3 lipca 2009 r.</w:t>
        </w:r>
        <w:r w:rsidRPr="002641EC">
          <w:t xml:space="preserve"> </w:t>
        </w:r>
        <w:r w:rsidRPr="002641EC">
          <w:rPr>
            <w:rStyle w:val="Hipercze"/>
            <w:noProof/>
            <w:color w:val="auto"/>
            <w:sz w:val="18"/>
            <w:szCs w:val="18"/>
          </w:rPr>
          <w:t xml:space="preserve">Sprawozdanie z konferencji zorganizowanej przez Instytut Prahistorii Uniwersytetu im. Adama Mickiewicza w Poznaniu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  <w:r w:rsidRPr="002641EC">
          <w:rPr>
            <w:noProof/>
            <w:sz w:val="18"/>
            <w:szCs w:val="18"/>
          </w:rPr>
          <w:tab/>
        </w:r>
      </w:hyperlink>
      <w:r w:rsidRPr="002641EC">
        <w:rPr>
          <w:sz w:val="18"/>
          <w:szCs w:val="18"/>
        </w:rPr>
        <w:t>471</w:t>
      </w:r>
    </w:p>
    <w:p w:rsidR="007F6F4C" w:rsidRPr="002641EC" w:rsidRDefault="007F6F4C" w:rsidP="007F6F4C">
      <w:pPr>
        <w:pStyle w:val="Spistreci1"/>
        <w:tabs>
          <w:tab w:val="left" w:leader="dot" w:pos="6691"/>
          <w:tab w:val="right" w:pos="7144"/>
        </w:tabs>
        <w:spacing w:after="0" w:line="244" w:lineRule="exact"/>
        <w:ind w:left="340" w:right="510" w:hanging="340"/>
        <w:jc w:val="both"/>
        <w:rPr>
          <w:noProof/>
          <w:sz w:val="18"/>
          <w:szCs w:val="18"/>
        </w:rPr>
      </w:pPr>
      <w:r w:rsidRPr="002641EC">
        <w:rPr>
          <w:noProof/>
          <w:sz w:val="18"/>
          <w:szCs w:val="18"/>
        </w:rPr>
        <w:t xml:space="preserve">Aleksander </w:t>
      </w:r>
      <w:r w:rsidRPr="002641EC">
        <w:rPr>
          <w:noProof/>
          <w:spacing w:val="40"/>
          <w:sz w:val="18"/>
          <w:szCs w:val="18"/>
        </w:rPr>
        <w:t>Kośk</w:t>
      </w:r>
      <w:r w:rsidRPr="002641EC">
        <w:rPr>
          <w:noProof/>
          <w:sz w:val="18"/>
          <w:szCs w:val="18"/>
        </w:rPr>
        <w:t xml:space="preserve">o, </w:t>
      </w:r>
      <w:hyperlink w:anchor="_Toc330379539" w:history="1">
        <w:r w:rsidRPr="002641EC">
          <w:rPr>
            <w:rStyle w:val="Hipercze"/>
            <w:noProof/>
            <w:color w:val="auto"/>
            <w:sz w:val="18"/>
            <w:szCs w:val="18"/>
          </w:rPr>
          <w:t>Od nadwarciańskiego matecznika</w:t>
        </w:r>
      </w:hyperlink>
      <w:r w:rsidRPr="002641EC">
        <w:rPr>
          <w:rStyle w:val="Hipercze"/>
          <w:noProof/>
          <w:color w:val="auto"/>
          <w:sz w:val="18"/>
          <w:szCs w:val="18"/>
        </w:rPr>
        <w:t xml:space="preserve"> </w:t>
      </w:r>
      <w:hyperlink w:anchor="_Toc330379540" w:history="1">
        <w:r w:rsidRPr="002641EC">
          <w:rPr>
            <w:rStyle w:val="Hipercze"/>
            <w:noProof/>
            <w:color w:val="auto"/>
            <w:sz w:val="18"/>
            <w:szCs w:val="18"/>
          </w:rPr>
          <w:t xml:space="preserve">ku archeologii pogranicza Zachodu i Wschodu Europy </w:t>
        </w:r>
        <w:r w:rsidRPr="002641EC">
          <w:rPr>
            <w:rStyle w:val="Hipercze"/>
            <w:noProof/>
            <w:color w:val="auto"/>
            <w:sz w:val="18"/>
            <w:szCs w:val="18"/>
          </w:rPr>
          <w:tab/>
        </w:r>
      </w:hyperlink>
      <w:r w:rsidRPr="002641EC">
        <w:rPr>
          <w:sz w:val="18"/>
          <w:szCs w:val="18"/>
        </w:rPr>
        <w:tab/>
        <w:t>479</w:t>
      </w:r>
    </w:p>
    <w:p w:rsidR="007F6F4C" w:rsidRPr="002641EC" w:rsidRDefault="007F6F4C" w:rsidP="007F6F4C">
      <w:pPr>
        <w:tabs>
          <w:tab w:val="left" w:leader="dot" w:pos="6691"/>
          <w:tab w:val="right" w:pos="7144"/>
        </w:tabs>
        <w:spacing w:before="240" w:after="120"/>
        <w:jc w:val="center"/>
        <w:rPr>
          <w:b/>
          <w:noProof/>
          <w:sz w:val="18"/>
          <w:szCs w:val="18"/>
        </w:rPr>
      </w:pPr>
      <w:r w:rsidRPr="002641EC">
        <w:rPr>
          <w:b/>
          <w:noProof/>
          <w:sz w:val="18"/>
          <w:szCs w:val="18"/>
        </w:rPr>
        <w:lastRenderedPageBreak/>
        <w:t>BIBLIOGRAFIA</w:t>
      </w:r>
    </w:p>
    <w:p w:rsidR="007F6F4C" w:rsidRPr="002641EC" w:rsidRDefault="003F2241" w:rsidP="007F6F4C">
      <w:pPr>
        <w:pStyle w:val="Spistreci1"/>
        <w:tabs>
          <w:tab w:val="left" w:leader="dot" w:pos="6691"/>
          <w:tab w:val="right" w:pos="7144"/>
        </w:tabs>
        <w:spacing w:after="0" w:line="240" w:lineRule="exact"/>
        <w:ind w:left="340" w:right="510" w:hanging="340"/>
        <w:jc w:val="both"/>
        <w:rPr>
          <w:noProof/>
          <w:sz w:val="18"/>
          <w:szCs w:val="18"/>
        </w:rPr>
      </w:pPr>
      <w:hyperlink w:anchor="_Toc330379541" w:history="1">
        <w:r w:rsidR="007F6F4C" w:rsidRPr="002641EC">
          <w:rPr>
            <w:rStyle w:val="Hipercze"/>
            <w:noProof/>
            <w:color w:val="auto"/>
            <w:sz w:val="18"/>
            <w:szCs w:val="18"/>
          </w:rPr>
          <w:t xml:space="preserve">Wykaz prac magisterskich, doktorskich i habilitacyjnych zrealizowanych w Instytucie Prahistorii UAM w latach 2003–2007 (sygnatury biblioteki Instytutu Prahistorii UAM) </w:t>
        </w:r>
        <w:r w:rsidR="007F6F4C" w:rsidRPr="002641EC">
          <w:rPr>
            <w:noProof/>
            <w:sz w:val="18"/>
            <w:szCs w:val="18"/>
          </w:rPr>
          <w:t xml:space="preserve">(opracowała </w:t>
        </w:r>
        <w:r w:rsidR="007F6F4C" w:rsidRPr="002641EC">
          <w:rPr>
            <w:noProof/>
            <w:sz w:val="18"/>
            <w:szCs w:val="18"/>
            <w:lang w:val="en-US"/>
          </w:rPr>
          <w:t xml:space="preserve">Jolanta </w:t>
        </w:r>
        <w:r w:rsidR="007F6F4C" w:rsidRPr="002641EC">
          <w:rPr>
            <w:noProof/>
            <w:spacing w:val="20"/>
            <w:sz w:val="18"/>
            <w:szCs w:val="18"/>
            <w:lang w:val="en-US"/>
          </w:rPr>
          <w:t xml:space="preserve">Walkiewicz) </w:t>
        </w:r>
        <w:r w:rsidR="007F6F4C" w:rsidRPr="002641EC">
          <w:rPr>
            <w:noProof/>
            <w:spacing w:val="20"/>
            <w:sz w:val="18"/>
            <w:szCs w:val="18"/>
            <w:lang w:val="en-US"/>
          </w:rPr>
          <w:tab/>
        </w:r>
      </w:hyperlink>
      <w:r w:rsidR="007F6F4C" w:rsidRPr="002641EC">
        <w:rPr>
          <w:sz w:val="18"/>
          <w:szCs w:val="18"/>
        </w:rPr>
        <w:tab/>
        <w:t>491</w:t>
      </w:r>
    </w:p>
    <w:p w:rsidR="007F6F4C" w:rsidRPr="002641EC" w:rsidRDefault="003F2241" w:rsidP="002641EC">
      <w:pPr>
        <w:tabs>
          <w:tab w:val="left" w:leader="dot" w:pos="6691"/>
          <w:tab w:val="right" w:pos="7144"/>
        </w:tabs>
        <w:spacing w:line="360" w:lineRule="auto"/>
        <w:jc w:val="center"/>
        <w:rPr>
          <w:lang w:val="en-US"/>
        </w:rPr>
      </w:pPr>
      <w:r w:rsidRPr="002641EC">
        <w:rPr>
          <w:b/>
          <w:caps/>
        </w:rPr>
        <w:fldChar w:fldCharType="end"/>
      </w:r>
    </w:p>
    <w:p w:rsidR="002008F3" w:rsidRPr="002641EC" w:rsidRDefault="002008F3"/>
    <w:sectPr w:rsidR="002008F3" w:rsidRPr="002641EC" w:rsidSect="002641EC">
      <w:headerReference w:type="even" r:id="rId6"/>
      <w:headerReference w:type="default" r:id="rId7"/>
      <w:footnotePr>
        <w:numRestart w:val="eachSect"/>
      </w:footnotePr>
      <w:type w:val="continuous"/>
      <w:pgSz w:w="11906" w:h="16838" w:code="9"/>
      <w:pgMar w:top="2268" w:right="2381" w:bottom="3799" w:left="2381" w:header="1701" w:footer="32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DF8" w:rsidRDefault="00484DF8" w:rsidP="00C77CE6">
      <w:r>
        <w:separator/>
      </w:r>
    </w:p>
  </w:endnote>
  <w:endnote w:type="continuationSeparator" w:id="0">
    <w:p w:rsidR="00484DF8" w:rsidRDefault="00484DF8" w:rsidP="00C7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DF8" w:rsidRDefault="00484DF8" w:rsidP="00C77CE6">
      <w:r>
        <w:separator/>
      </w:r>
    </w:p>
  </w:footnote>
  <w:footnote w:type="continuationSeparator" w:id="0">
    <w:p w:rsidR="00484DF8" w:rsidRDefault="00484DF8" w:rsidP="00C77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87195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C12ED" w:rsidRPr="00370331" w:rsidRDefault="003F2241" w:rsidP="00370331">
        <w:pPr>
          <w:pStyle w:val="Nagwek"/>
          <w:framePr w:hSpace="181" w:wrap="around" w:vAnchor="text" w:hAnchor="text" w:xAlign="outside" w:y="1"/>
          <w:rPr>
            <w:sz w:val="22"/>
            <w:szCs w:val="22"/>
          </w:rPr>
        </w:pPr>
        <w:r w:rsidRPr="00370331">
          <w:rPr>
            <w:sz w:val="22"/>
            <w:szCs w:val="22"/>
          </w:rPr>
          <w:fldChar w:fldCharType="begin"/>
        </w:r>
        <w:r w:rsidR="00F9690E" w:rsidRPr="00370331">
          <w:rPr>
            <w:sz w:val="22"/>
            <w:szCs w:val="22"/>
          </w:rPr>
          <w:instrText xml:space="preserve"> PAGE   \* MERGEFORMAT </w:instrText>
        </w:r>
        <w:r w:rsidRPr="00370331">
          <w:rPr>
            <w:sz w:val="22"/>
            <w:szCs w:val="22"/>
          </w:rPr>
          <w:fldChar w:fldCharType="separate"/>
        </w:r>
        <w:r w:rsidR="00F9690E">
          <w:rPr>
            <w:noProof/>
            <w:sz w:val="22"/>
            <w:szCs w:val="22"/>
          </w:rPr>
          <w:t>4</w:t>
        </w:r>
        <w:r w:rsidRPr="00370331">
          <w:rPr>
            <w:sz w:val="22"/>
            <w:szCs w:val="22"/>
          </w:rPr>
          <w:fldChar w:fldCharType="end"/>
        </w:r>
      </w:p>
      <w:p w:rsidR="009C12ED" w:rsidRDefault="00F9690E" w:rsidP="00370331">
        <w:pPr>
          <w:pStyle w:val="Nagwek"/>
          <w:pBdr>
            <w:bottom w:val="single" w:sz="4" w:space="1" w:color="auto"/>
          </w:pBdr>
          <w:spacing w:line="240" w:lineRule="exact"/>
          <w:jc w:val="center"/>
        </w:pPr>
        <w:r>
          <w:rPr>
            <w:sz w:val="16"/>
            <w:szCs w:val="16"/>
          </w:rPr>
          <w:t>Spis treści</w:t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871955"/>
      <w:docPartObj>
        <w:docPartGallery w:val="Page Numbers (Top of Page)"/>
        <w:docPartUnique/>
      </w:docPartObj>
    </w:sdtPr>
    <w:sdtContent>
      <w:p w:rsidR="009C12ED" w:rsidRPr="00575CEB" w:rsidRDefault="003F2241" w:rsidP="00370331">
        <w:pPr>
          <w:pStyle w:val="Nagwek"/>
          <w:framePr w:hSpace="181" w:wrap="around" w:vAnchor="text" w:hAnchor="text" w:xAlign="outside" w:y="1"/>
        </w:pPr>
        <w:r w:rsidRPr="00370331">
          <w:rPr>
            <w:sz w:val="22"/>
            <w:szCs w:val="22"/>
          </w:rPr>
          <w:fldChar w:fldCharType="begin"/>
        </w:r>
        <w:r w:rsidR="00F9690E" w:rsidRPr="00370331">
          <w:rPr>
            <w:sz w:val="22"/>
            <w:szCs w:val="22"/>
          </w:rPr>
          <w:instrText xml:space="preserve"> PAGE   \* MERGEFORMAT </w:instrText>
        </w:r>
        <w:r w:rsidRPr="00370331">
          <w:rPr>
            <w:sz w:val="22"/>
            <w:szCs w:val="22"/>
          </w:rPr>
          <w:fldChar w:fldCharType="separate"/>
        </w:r>
        <w:r w:rsidR="009254CC">
          <w:rPr>
            <w:noProof/>
            <w:sz w:val="22"/>
            <w:szCs w:val="22"/>
          </w:rPr>
          <w:t>1</w:t>
        </w:r>
        <w:r w:rsidRPr="00370331">
          <w:rPr>
            <w:sz w:val="22"/>
            <w:szCs w:val="22"/>
          </w:rPr>
          <w:fldChar w:fldCharType="end"/>
        </w:r>
      </w:p>
      <w:p w:rsidR="009C12ED" w:rsidRPr="00370331" w:rsidRDefault="00F9690E" w:rsidP="00370331">
        <w:pPr>
          <w:pStyle w:val="Nagwek"/>
          <w:pBdr>
            <w:bottom w:val="single" w:sz="4" w:space="1" w:color="auto"/>
          </w:pBdr>
          <w:spacing w:line="240" w:lineRule="exact"/>
          <w:jc w:val="center"/>
          <w:rPr>
            <w:sz w:val="22"/>
            <w:szCs w:val="22"/>
          </w:rPr>
        </w:pPr>
        <w:r>
          <w:rPr>
            <w:sz w:val="16"/>
            <w:szCs w:val="16"/>
          </w:rPr>
          <w:t>Spis treści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1028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7F6F4C"/>
    <w:rsid w:val="0000527A"/>
    <w:rsid w:val="000577E7"/>
    <w:rsid w:val="000D3C23"/>
    <w:rsid w:val="000E0E43"/>
    <w:rsid w:val="00176B96"/>
    <w:rsid w:val="001C5650"/>
    <w:rsid w:val="001E6C60"/>
    <w:rsid w:val="002008F3"/>
    <w:rsid w:val="002174BA"/>
    <w:rsid w:val="00252D28"/>
    <w:rsid w:val="002641EC"/>
    <w:rsid w:val="0026597D"/>
    <w:rsid w:val="00306A71"/>
    <w:rsid w:val="00330D79"/>
    <w:rsid w:val="00371728"/>
    <w:rsid w:val="003B1105"/>
    <w:rsid w:val="003F2241"/>
    <w:rsid w:val="004417CF"/>
    <w:rsid w:val="00473AB7"/>
    <w:rsid w:val="00484DF8"/>
    <w:rsid w:val="00497B3C"/>
    <w:rsid w:val="004F5710"/>
    <w:rsid w:val="00501B0C"/>
    <w:rsid w:val="00582A2B"/>
    <w:rsid w:val="005E37E6"/>
    <w:rsid w:val="00645887"/>
    <w:rsid w:val="006517BC"/>
    <w:rsid w:val="007437E9"/>
    <w:rsid w:val="007A0496"/>
    <w:rsid w:val="007A6476"/>
    <w:rsid w:val="007F6F4C"/>
    <w:rsid w:val="0088407D"/>
    <w:rsid w:val="008B22E3"/>
    <w:rsid w:val="00901C87"/>
    <w:rsid w:val="00915508"/>
    <w:rsid w:val="009254CC"/>
    <w:rsid w:val="00997A83"/>
    <w:rsid w:val="009A580D"/>
    <w:rsid w:val="00A372A2"/>
    <w:rsid w:val="00A80092"/>
    <w:rsid w:val="00AB3648"/>
    <w:rsid w:val="00C10B2D"/>
    <w:rsid w:val="00C5224B"/>
    <w:rsid w:val="00C77CE6"/>
    <w:rsid w:val="00C87C1D"/>
    <w:rsid w:val="00CA54D4"/>
    <w:rsid w:val="00D26234"/>
    <w:rsid w:val="00ED46EE"/>
    <w:rsid w:val="00F96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180"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F4C"/>
    <w:pPr>
      <w:spacing w:before="0" w:after="0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">
    <w:name w:val="table"/>
    <w:basedOn w:val="Normalny"/>
    <w:autoRedefine/>
    <w:rsid w:val="00582A2B"/>
    <w:pPr>
      <w:spacing w:line="264" w:lineRule="auto"/>
    </w:pPr>
    <w:rPr>
      <w:color w:val="548DD4" w:themeColor="text2" w:themeTint="99"/>
      <w:lang w:val="en-US"/>
    </w:rPr>
  </w:style>
  <w:style w:type="paragraph" w:customStyle="1" w:styleId="cyfra">
    <w:name w:val="cyfra"/>
    <w:basedOn w:val="Normalny"/>
    <w:qFormat/>
    <w:rsid w:val="008B22E3"/>
    <w:pPr>
      <w:tabs>
        <w:tab w:val="left" w:pos="567"/>
        <w:tab w:val="left" w:pos="1134"/>
      </w:tabs>
      <w:spacing w:before="240" w:after="180"/>
      <w:jc w:val="both"/>
    </w:pPr>
    <w:rPr>
      <w:rFonts w:ascii="Times" w:hAnsi="Times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7F6F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6F4C"/>
    <w:rPr>
      <w:rFonts w:eastAsia="Times New Roman"/>
      <w:sz w:val="24"/>
      <w:szCs w:val="24"/>
      <w:lang w:eastAsia="pl-PL"/>
    </w:rPr>
  </w:style>
  <w:style w:type="character" w:customStyle="1" w:styleId="hps">
    <w:name w:val="hps"/>
    <w:basedOn w:val="Domylnaczcionkaakapitu"/>
    <w:rsid w:val="007F6F4C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7F6F4C"/>
    <w:rPr>
      <w:rFonts w:cs="Times New Roman"/>
      <w:i/>
      <w:iCs/>
    </w:rPr>
  </w:style>
  <w:style w:type="character" w:customStyle="1" w:styleId="apple-style-span">
    <w:name w:val="apple-style-span"/>
    <w:basedOn w:val="Domylnaczcionkaakapitu"/>
    <w:rsid w:val="007F6F4C"/>
  </w:style>
  <w:style w:type="character" w:styleId="Hipercze">
    <w:name w:val="Hyperlink"/>
    <w:basedOn w:val="Domylnaczcionkaakapitu"/>
    <w:uiPriority w:val="99"/>
    <w:unhideWhenUsed/>
    <w:rsid w:val="007F6F4C"/>
    <w:rPr>
      <w:rFonts w:cs="Times New Roman"/>
      <w:color w:val="0000FF"/>
      <w:u w:val="single"/>
    </w:rPr>
  </w:style>
  <w:style w:type="character" w:customStyle="1" w:styleId="metadatafieldvalueeven">
    <w:name w:val="metadatafieldvalueeven"/>
    <w:basedOn w:val="Domylnaczcionkaakapitu"/>
    <w:rsid w:val="007F6F4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F6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7F6F4C"/>
    <w:rPr>
      <w:rFonts w:ascii="Courier New" w:eastAsia="Times New Roman" w:hAnsi="Courier New" w:cs="Courier New"/>
      <w:lang w:eastAsia="pl-PL"/>
    </w:rPr>
  </w:style>
  <w:style w:type="paragraph" w:styleId="Spistreci1">
    <w:name w:val="toc 1"/>
    <w:basedOn w:val="Normalny"/>
    <w:next w:val="Normalny"/>
    <w:uiPriority w:val="39"/>
    <w:unhideWhenUsed/>
    <w:rsid w:val="007F6F4C"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rsid w:val="007F6F4C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F6F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6F4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5904</Characters>
  <Application>Microsoft Office Word</Application>
  <DocSecurity>0</DocSecurity>
  <Lines>49</Lines>
  <Paragraphs>13</Paragraphs>
  <ScaleCrop>false</ScaleCrop>
  <Company>WYDAWNICTWO UAM</Company>
  <LinksUpToDate>false</LinksUpToDate>
  <CharactersWithSpaces>6874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Promocja</cp:lastModifiedBy>
  <cp:revision>4</cp:revision>
  <dcterms:created xsi:type="dcterms:W3CDTF">2012-12-05T08:28:00Z</dcterms:created>
  <dcterms:modified xsi:type="dcterms:W3CDTF">2012-12-10T14:11:00Z</dcterms:modified>
</cp:coreProperties>
</file>